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3170AE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 w:rsidR="003170AE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</w:t>
            </w:r>
            <w:r w:rsidR="003170AE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5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3170AE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14</w:t>
            </w:r>
            <w:r w:rsidR="003170AE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7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3170AE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3A155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221B1" w:rsidRPr="00E22488" w:rsidRDefault="003221B1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lastRenderedPageBreak/>
        <w:t xml:space="preserve">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3221B1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DF24D4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3A155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3221B1" w:rsidP="004266E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7083,5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3221B1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221B1" w:rsidP="003221B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межбюджетных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4266EB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DB1AA8"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266E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4266EB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Новозахаркинском муниципальном образовании Духовницкого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6B278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C156D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C15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4026E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4026E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4026E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0658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Новозахаркинского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790FD7"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05EB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E71C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71C26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05EB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4D08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D0834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E05EB9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E05EB9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E05EB9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B2789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4026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4026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4026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4026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B2789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Контрольно-счетного органа поселения по внешнему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3872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E05EB9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A0DB8">
              <w:rPr>
                <w:rFonts w:ascii="PT Astra Serif" w:hAnsi="PT Astra Serif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6B278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E0026" w:rsidRDefault="003E0026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6B2789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6B2789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E86E71"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697,1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E05EB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E05EB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95 3 03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7173,5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DF24D4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23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bookmarkStart w:id="0" w:name="_GoBack"/>
      <w:bookmarkEnd w:id="0"/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10</w:t>
            </w:r>
            <w:r w:rsidR="00193756"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094D1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E86E7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7173,5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7173,5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7173,5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3EB4"/>
    <w:rsid w:val="00484E1A"/>
    <w:rsid w:val="004918DF"/>
    <w:rsid w:val="0049231A"/>
    <w:rsid w:val="00496315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3567F"/>
    <w:rsid w:val="00B363E9"/>
    <w:rsid w:val="00B374A8"/>
    <w:rsid w:val="00B42052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7D1E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AD2F7FF-1399-4461-9992-276A82C3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</TotalTime>
  <Pages>53</Pages>
  <Words>9232</Words>
  <Characters>52625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411</cp:revision>
  <cp:lastPrinted>2023-03-21T07:18:00Z</cp:lastPrinted>
  <dcterms:created xsi:type="dcterms:W3CDTF">2016-12-01T07:21:00Z</dcterms:created>
  <dcterms:modified xsi:type="dcterms:W3CDTF">2023-05-30T05:29:00Z</dcterms:modified>
</cp:coreProperties>
</file>