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BD" w:rsidRPr="00485221" w:rsidRDefault="006C34BD" w:rsidP="006C34BD">
      <w:pPr>
        <w:jc w:val="right"/>
        <w:rPr>
          <w:b/>
          <w:noProof/>
          <w:spacing w:val="20"/>
          <w:lang w:eastAsia="ru-RU"/>
        </w:rPr>
      </w:pPr>
      <w:r w:rsidRPr="00485221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2625725</wp:posOffset>
            </wp:positionH>
            <wp:positionV relativeFrom="margin">
              <wp:posOffset>3810</wp:posOffset>
            </wp:positionV>
            <wp:extent cx="733425" cy="8763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pacing w:val="20"/>
          <w:lang w:eastAsia="ru-RU"/>
        </w:rPr>
        <w:t xml:space="preserve"> </w:t>
      </w:r>
    </w:p>
    <w:p w:rsidR="006C34BD" w:rsidRDefault="006C34BD" w:rsidP="006C34BD">
      <w:pPr>
        <w:jc w:val="center"/>
        <w:rPr>
          <w:rFonts w:ascii="Courier New" w:hAnsi="Courier New"/>
          <w:noProof/>
          <w:spacing w:val="20"/>
          <w:lang w:eastAsia="ru-RU"/>
        </w:rPr>
      </w:pPr>
    </w:p>
    <w:p w:rsidR="006C34BD" w:rsidRDefault="006C34BD" w:rsidP="006C34BD">
      <w:pPr>
        <w:jc w:val="center"/>
        <w:rPr>
          <w:rFonts w:ascii="Courier New" w:hAnsi="Courier New"/>
          <w:noProof/>
          <w:spacing w:val="20"/>
          <w:lang w:eastAsia="ru-RU"/>
        </w:rPr>
      </w:pPr>
    </w:p>
    <w:p w:rsidR="006C34BD" w:rsidRDefault="006C34BD" w:rsidP="006C34BD">
      <w:pPr>
        <w:jc w:val="center"/>
        <w:rPr>
          <w:b/>
          <w:color w:val="000000"/>
          <w:spacing w:val="20"/>
          <w:sz w:val="28"/>
          <w:szCs w:val="28"/>
        </w:rPr>
      </w:pPr>
    </w:p>
    <w:p w:rsidR="006C34BD" w:rsidRDefault="006C34BD" w:rsidP="006C34BD">
      <w:pPr>
        <w:jc w:val="center"/>
        <w:rPr>
          <w:b/>
          <w:color w:val="000000"/>
          <w:spacing w:val="20"/>
          <w:sz w:val="28"/>
          <w:szCs w:val="28"/>
        </w:rPr>
      </w:pPr>
    </w:p>
    <w:p w:rsidR="006C34BD" w:rsidRDefault="006C34BD" w:rsidP="006C34BD">
      <w:pPr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СЕЛЬСКИЙ СОВЕТ</w:t>
      </w:r>
    </w:p>
    <w:p w:rsidR="006C34BD" w:rsidRDefault="006C34BD" w:rsidP="006C34BD">
      <w:pPr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НОВОЗАХАРКИНСКОГО МУНИЦИПАЛЬНОГО ОБРАЗОВАНИЯ</w:t>
      </w:r>
    </w:p>
    <w:p w:rsidR="006C34BD" w:rsidRDefault="006C34BD" w:rsidP="006C34BD">
      <w:pPr>
        <w:pStyle w:val="a5"/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  <w:lang w:val="ru-RU"/>
        </w:rPr>
      </w:pPr>
      <w:r>
        <w:rPr>
          <w:rFonts w:ascii="Times New Roman" w:hAnsi="Times New Roman"/>
          <w:b/>
          <w:spacing w:val="24"/>
          <w:sz w:val="28"/>
          <w:szCs w:val="28"/>
          <w:lang w:val="ru-RU"/>
        </w:rPr>
        <w:t xml:space="preserve"> ДУХОВНИЦКОГО МУНИЦИПАЛЬНОГО РАЙОНА </w:t>
      </w:r>
    </w:p>
    <w:p w:rsidR="006C34BD" w:rsidRDefault="006C34BD" w:rsidP="006C34BD">
      <w:pPr>
        <w:pStyle w:val="a5"/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  <w:lang w:val="ru-RU"/>
        </w:rPr>
      </w:pPr>
      <w:r>
        <w:rPr>
          <w:rFonts w:ascii="Times New Roman" w:hAnsi="Times New Roman"/>
          <w:b/>
          <w:spacing w:val="24"/>
          <w:sz w:val="28"/>
          <w:szCs w:val="28"/>
          <w:lang w:val="ru-RU"/>
        </w:rPr>
        <w:t>САРАТОВСКОЙ ОБЛАСТИ</w:t>
      </w:r>
    </w:p>
    <w:p w:rsidR="006C34BD" w:rsidRDefault="006C34BD" w:rsidP="006C34BD">
      <w:pPr>
        <w:pStyle w:val="a5"/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  <w:lang w:val="ru-RU"/>
        </w:rPr>
      </w:pPr>
      <w:r>
        <w:rPr>
          <w:rFonts w:ascii="Times New Roman" w:hAnsi="Times New Roman"/>
          <w:b/>
          <w:spacing w:val="24"/>
          <w:sz w:val="28"/>
          <w:szCs w:val="28"/>
          <w:lang w:val="ru-RU"/>
        </w:rPr>
        <w:t>ШЕСТОГО СОЗЫВА</w:t>
      </w:r>
    </w:p>
    <w:p w:rsidR="006C34BD" w:rsidRDefault="006C34BD" w:rsidP="006C34BD">
      <w:pPr>
        <w:pStyle w:val="a5"/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  <w:lang w:val="ru-RU"/>
        </w:rPr>
      </w:pPr>
    </w:p>
    <w:p w:rsidR="006C34BD" w:rsidRPr="005F2633" w:rsidRDefault="006C34BD" w:rsidP="006C34BD">
      <w:pPr>
        <w:pStyle w:val="a5"/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  <w:lang w:val="ru-RU"/>
        </w:rPr>
      </w:pPr>
      <w:r w:rsidRPr="005F2633">
        <w:rPr>
          <w:rFonts w:ascii="Times New Roman" w:hAnsi="Times New Roman"/>
          <w:b/>
          <w:spacing w:val="60"/>
          <w:sz w:val="28"/>
          <w:szCs w:val="28"/>
          <w:lang w:val="ru-RU"/>
        </w:rPr>
        <w:t>РЕШЕНИЕ</w:t>
      </w:r>
    </w:p>
    <w:p w:rsidR="006C34BD" w:rsidRPr="00CD6BEF" w:rsidRDefault="006C34BD" w:rsidP="006C34BD">
      <w:pPr>
        <w:pStyle w:val="a5"/>
        <w:spacing w:after="0" w:line="240" w:lineRule="auto"/>
        <w:jc w:val="center"/>
        <w:rPr>
          <w:rFonts w:ascii="Times New Roman" w:hAnsi="Times New Roman"/>
          <w:b/>
          <w:spacing w:val="60"/>
          <w:sz w:val="10"/>
          <w:szCs w:val="10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4"/>
        <w:gridCol w:w="1678"/>
        <w:gridCol w:w="4029"/>
      </w:tblGrid>
      <w:tr w:rsidR="006C34BD" w:rsidTr="005F02FB">
        <w:trPr>
          <w:trHeight w:val="212"/>
        </w:trPr>
        <w:tc>
          <w:tcPr>
            <w:tcW w:w="3914" w:type="dxa"/>
          </w:tcPr>
          <w:p w:rsidR="006C34BD" w:rsidRPr="00FF5FC6" w:rsidRDefault="006C34BD" w:rsidP="005F0BA3">
            <w:pPr>
              <w:snapToGrid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от </w:t>
            </w:r>
            <w:r w:rsidR="005F0BA3">
              <w:rPr>
                <w:b/>
                <w:bCs/>
                <w:sz w:val="28"/>
              </w:rPr>
              <w:t>18</w:t>
            </w:r>
            <w:r>
              <w:rPr>
                <w:b/>
                <w:bCs/>
                <w:sz w:val="28"/>
              </w:rPr>
              <w:t>.12.202</w:t>
            </w:r>
            <w:r w:rsidR="005F0BA3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 xml:space="preserve">г         </w:t>
            </w:r>
          </w:p>
        </w:tc>
        <w:tc>
          <w:tcPr>
            <w:tcW w:w="1678" w:type="dxa"/>
          </w:tcPr>
          <w:p w:rsidR="006C34BD" w:rsidRDefault="006C34BD" w:rsidP="005F02FB"/>
        </w:tc>
        <w:tc>
          <w:tcPr>
            <w:tcW w:w="4029" w:type="dxa"/>
          </w:tcPr>
          <w:p w:rsidR="006C34BD" w:rsidRDefault="006C34BD" w:rsidP="00DE409E">
            <w:pPr>
              <w:snapToGrid w:val="0"/>
              <w:ind w:firstLine="155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№  </w:t>
            </w:r>
            <w:r w:rsidR="00DE409E">
              <w:rPr>
                <w:b/>
                <w:bCs/>
                <w:sz w:val="28"/>
              </w:rPr>
              <w:t>31</w:t>
            </w:r>
            <w:r>
              <w:rPr>
                <w:b/>
                <w:bCs/>
                <w:sz w:val="28"/>
              </w:rPr>
              <w:t>/</w:t>
            </w:r>
            <w:r w:rsidR="005F0BA3">
              <w:rPr>
                <w:b/>
                <w:bCs/>
                <w:sz w:val="28"/>
              </w:rPr>
              <w:t>6</w:t>
            </w:r>
            <w:r w:rsidR="00DE409E">
              <w:rPr>
                <w:b/>
                <w:bCs/>
                <w:sz w:val="28"/>
              </w:rPr>
              <w:t>6</w:t>
            </w:r>
          </w:p>
        </w:tc>
      </w:tr>
    </w:tbl>
    <w:p w:rsidR="006C34BD" w:rsidRDefault="006C34BD" w:rsidP="006C34BD">
      <w:pPr>
        <w:shd w:val="clear" w:color="auto" w:fill="FFFFFF"/>
        <w:jc w:val="center"/>
        <w:rPr>
          <w:b/>
          <w:bCs/>
          <w:color w:val="000000"/>
          <w:spacing w:val="-3"/>
          <w:sz w:val="25"/>
          <w:szCs w:val="25"/>
        </w:rPr>
      </w:pPr>
    </w:p>
    <w:p w:rsidR="006C34BD" w:rsidRDefault="006C34BD" w:rsidP="006C34BD">
      <w:pPr>
        <w:shd w:val="clear" w:color="auto" w:fill="FFFFFF"/>
        <w:jc w:val="center"/>
        <w:rPr>
          <w:b/>
          <w:bCs/>
          <w:color w:val="000000"/>
          <w:spacing w:val="-3"/>
          <w:sz w:val="25"/>
          <w:szCs w:val="25"/>
        </w:rPr>
      </w:pPr>
      <w:r>
        <w:rPr>
          <w:b/>
          <w:bCs/>
          <w:color w:val="000000"/>
          <w:spacing w:val="-3"/>
          <w:sz w:val="25"/>
          <w:szCs w:val="25"/>
        </w:rPr>
        <w:t xml:space="preserve">с. </w:t>
      </w:r>
      <w:proofErr w:type="spellStart"/>
      <w:r>
        <w:rPr>
          <w:b/>
          <w:bCs/>
          <w:color w:val="000000"/>
          <w:spacing w:val="-3"/>
          <w:sz w:val="25"/>
          <w:szCs w:val="25"/>
        </w:rPr>
        <w:t>Новозахаркино</w:t>
      </w:r>
      <w:proofErr w:type="spellEnd"/>
      <w:r>
        <w:rPr>
          <w:b/>
          <w:bCs/>
          <w:color w:val="000000"/>
          <w:spacing w:val="-3"/>
          <w:sz w:val="25"/>
          <w:szCs w:val="25"/>
        </w:rPr>
        <w:t xml:space="preserve">   </w:t>
      </w:r>
    </w:p>
    <w:p w:rsidR="006C34BD" w:rsidRPr="005F2633" w:rsidRDefault="006C34BD" w:rsidP="006C34BD">
      <w:pPr>
        <w:shd w:val="clear" w:color="auto" w:fill="FFFFFF"/>
        <w:jc w:val="center"/>
        <w:rPr>
          <w:b/>
          <w:bCs/>
          <w:color w:val="000000"/>
          <w:spacing w:val="-3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702"/>
      </w:tblGrid>
      <w:tr w:rsidR="006C34BD" w:rsidRPr="00782B4B" w:rsidTr="005F02FB">
        <w:trPr>
          <w:trHeight w:val="782"/>
        </w:trPr>
        <w:tc>
          <w:tcPr>
            <w:tcW w:w="5702" w:type="dxa"/>
          </w:tcPr>
          <w:p w:rsidR="006C34BD" w:rsidRPr="00782B4B" w:rsidRDefault="006C34BD" w:rsidP="006C34BD">
            <w:pPr>
              <w:widowControl/>
              <w:suppressAutoHyphens w:val="0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782B4B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О передаче части своих полномочий по решению вопросов местного значения  органами местного самоуправления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Новозахаркинского</w:t>
            </w:r>
            <w:proofErr w:type="spellEnd"/>
            <w:r w:rsidRPr="00782B4B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муниципального образования органам местного самоуправления Духовницкого муниципального района на 202</w:t>
            </w:r>
            <w:r w:rsidR="005F0BA3">
              <w:rPr>
                <w:rFonts w:eastAsia="Times New Roman"/>
                <w:b/>
                <w:sz w:val="28"/>
                <w:szCs w:val="28"/>
                <w:lang w:eastAsia="ru-RU"/>
              </w:rPr>
              <w:t>5</w:t>
            </w:r>
            <w:r w:rsidRPr="00782B4B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год.</w:t>
            </w:r>
          </w:p>
        </w:tc>
        <w:bookmarkStart w:id="0" w:name="_GoBack"/>
        <w:bookmarkEnd w:id="0"/>
      </w:tr>
    </w:tbl>
    <w:p w:rsidR="006C34BD" w:rsidRPr="00782B4B" w:rsidRDefault="006C34BD" w:rsidP="006C34BD">
      <w:pPr>
        <w:widowControl/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782B4B">
        <w:rPr>
          <w:rFonts w:eastAsia="Times New Roman"/>
          <w:sz w:val="28"/>
          <w:szCs w:val="28"/>
          <w:lang w:eastAsia="ru-RU"/>
        </w:rPr>
        <w:t xml:space="preserve">         </w:t>
      </w:r>
    </w:p>
    <w:p w:rsidR="006C34BD" w:rsidRPr="00782B4B" w:rsidRDefault="006C34BD" w:rsidP="006C34BD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782B4B">
        <w:rPr>
          <w:rFonts w:eastAsia="Times New Roman"/>
          <w:sz w:val="28"/>
          <w:szCs w:val="28"/>
          <w:lang w:eastAsia="ru-RU"/>
        </w:rPr>
        <w:t xml:space="preserve">В  целях обеспечения осуществления полномочий, возложенных на органы местного самоуправления по внутреннему муниципальному финансовому контролю, в соответствии со статьями 157, 265, 269.2 Бюджетного кодекса Российской Федерации, ч. 4 ст.15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>
        <w:rPr>
          <w:rFonts w:eastAsia="Times New Roman"/>
          <w:sz w:val="28"/>
          <w:szCs w:val="28"/>
          <w:lang w:eastAsia="ru-RU"/>
        </w:rPr>
        <w:t>Новозахаркинского</w:t>
      </w:r>
      <w:proofErr w:type="spellEnd"/>
      <w:r w:rsidRPr="00782B4B">
        <w:rPr>
          <w:rFonts w:eastAsia="Times New Roman"/>
          <w:sz w:val="28"/>
          <w:szCs w:val="28"/>
          <w:lang w:eastAsia="ru-RU"/>
        </w:rPr>
        <w:t xml:space="preserve"> муниципального образования, сельский  Совет </w:t>
      </w:r>
      <w:proofErr w:type="spellStart"/>
      <w:r>
        <w:rPr>
          <w:rFonts w:eastAsia="Times New Roman"/>
          <w:sz w:val="28"/>
          <w:szCs w:val="28"/>
          <w:lang w:eastAsia="ru-RU"/>
        </w:rPr>
        <w:t>Новозахаркинского</w:t>
      </w:r>
      <w:proofErr w:type="spellEnd"/>
      <w:r w:rsidRPr="00782B4B">
        <w:rPr>
          <w:rFonts w:eastAsia="Times New Roman"/>
          <w:sz w:val="28"/>
          <w:szCs w:val="28"/>
          <w:lang w:eastAsia="ru-RU"/>
        </w:rPr>
        <w:t xml:space="preserve"> муниципального образования Духовницкого муниципального района Саратовской области</w:t>
      </w:r>
    </w:p>
    <w:p w:rsidR="006C34BD" w:rsidRPr="00782B4B" w:rsidRDefault="006C34BD" w:rsidP="006C34BD">
      <w:pPr>
        <w:widowControl/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782B4B">
        <w:rPr>
          <w:rFonts w:eastAsia="Times New Roman"/>
          <w:b/>
          <w:sz w:val="28"/>
          <w:szCs w:val="28"/>
          <w:lang w:eastAsia="ru-RU"/>
        </w:rPr>
        <w:t>РЕШИЛ:</w:t>
      </w:r>
    </w:p>
    <w:p w:rsidR="006C34BD" w:rsidRPr="00782B4B" w:rsidRDefault="006C34BD" w:rsidP="006C34BD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Передать в 202</w:t>
      </w:r>
      <w:r w:rsidR="005F0BA3">
        <w:rPr>
          <w:rFonts w:eastAsia="Times New Roman"/>
          <w:sz w:val="28"/>
          <w:szCs w:val="28"/>
          <w:lang w:eastAsia="ru-RU"/>
        </w:rPr>
        <w:t>5</w:t>
      </w:r>
      <w:r w:rsidRPr="00782B4B">
        <w:rPr>
          <w:rFonts w:eastAsia="Times New Roman"/>
          <w:sz w:val="28"/>
          <w:szCs w:val="28"/>
          <w:lang w:eastAsia="ru-RU"/>
        </w:rPr>
        <w:t xml:space="preserve"> году администрации Духовницкого муниципального района часть следующих полномочий по осуществлению внутреннего муниципального финансового контроля: </w:t>
      </w:r>
    </w:p>
    <w:p w:rsidR="006C34BD" w:rsidRPr="00782B4B" w:rsidRDefault="006C34BD" w:rsidP="006C34BD">
      <w:pPr>
        <w:suppressAutoHyphens w:val="0"/>
        <w:autoSpaceDE w:val="0"/>
        <w:autoSpaceDN w:val="0"/>
        <w:adjustRightInd w:val="0"/>
        <w:spacing w:after="200" w:line="276" w:lineRule="auto"/>
        <w:ind w:left="720"/>
        <w:jc w:val="both"/>
        <w:rPr>
          <w:rFonts w:eastAsia="Calibri"/>
          <w:sz w:val="28"/>
          <w:szCs w:val="28"/>
        </w:rPr>
      </w:pPr>
      <w:r w:rsidRPr="00782B4B">
        <w:rPr>
          <w:rFonts w:eastAsia="Calibri"/>
          <w:sz w:val="28"/>
          <w:szCs w:val="28"/>
        </w:rPr>
        <w:t>1.1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6C34BD" w:rsidRPr="00782B4B" w:rsidRDefault="006C34BD" w:rsidP="006C34BD">
      <w:pPr>
        <w:suppressAutoHyphens w:val="0"/>
        <w:autoSpaceDE w:val="0"/>
        <w:autoSpaceDN w:val="0"/>
        <w:adjustRightInd w:val="0"/>
        <w:spacing w:after="200" w:line="276" w:lineRule="auto"/>
        <w:ind w:left="720"/>
        <w:jc w:val="both"/>
        <w:rPr>
          <w:rFonts w:eastAsia="Calibri"/>
          <w:sz w:val="28"/>
          <w:szCs w:val="28"/>
        </w:rPr>
      </w:pPr>
      <w:r w:rsidRPr="00782B4B">
        <w:rPr>
          <w:rFonts w:eastAsia="Calibri"/>
          <w:sz w:val="28"/>
          <w:szCs w:val="28"/>
        </w:rPr>
        <w:t xml:space="preserve">1.2.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</w:t>
      </w:r>
      <w:r w:rsidRPr="00782B4B">
        <w:rPr>
          <w:rFonts w:eastAsia="Calibri"/>
          <w:sz w:val="28"/>
          <w:szCs w:val="28"/>
        </w:rPr>
        <w:lastRenderedPageBreak/>
        <w:t>Российской Федерации, а также за соблюдением условий соглашений о предоставлении средств из соответствующего бюджета, муниципальных контрактов;</w:t>
      </w:r>
    </w:p>
    <w:p w:rsidR="006C34BD" w:rsidRPr="00782B4B" w:rsidRDefault="006C34BD" w:rsidP="006C34BD">
      <w:pPr>
        <w:suppressAutoHyphens w:val="0"/>
        <w:autoSpaceDE w:val="0"/>
        <w:autoSpaceDN w:val="0"/>
        <w:adjustRightInd w:val="0"/>
        <w:spacing w:after="200" w:line="276" w:lineRule="auto"/>
        <w:ind w:left="720"/>
        <w:jc w:val="both"/>
        <w:rPr>
          <w:rFonts w:eastAsia="Calibri"/>
          <w:sz w:val="28"/>
          <w:szCs w:val="28"/>
        </w:rPr>
      </w:pPr>
      <w:r w:rsidRPr="00782B4B">
        <w:rPr>
          <w:rFonts w:eastAsia="Calibri"/>
          <w:sz w:val="28"/>
          <w:szCs w:val="28"/>
        </w:rPr>
        <w:t>1.3. контроль за соблюдением условий соглашений, заключенных в целях исполнения соглашений о предоставлении средств из бюджета, а также в случаях, предусмотренных настоящим Кодексом, условий соглашений, заключенных в целях исполнения муниципальных контрактов;</w:t>
      </w:r>
    </w:p>
    <w:p w:rsidR="006C34BD" w:rsidRPr="00782B4B" w:rsidRDefault="006C34BD" w:rsidP="006C34BD">
      <w:pPr>
        <w:suppressAutoHyphens w:val="0"/>
        <w:autoSpaceDE w:val="0"/>
        <w:autoSpaceDN w:val="0"/>
        <w:adjustRightInd w:val="0"/>
        <w:spacing w:after="200" w:line="276" w:lineRule="auto"/>
        <w:ind w:left="720"/>
        <w:jc w:val="both"/>
        <w:rPr>
          <w:rFonts w:eastAsia="Calibri"/>
          <w:sz w:val="28"/>
          <w:szCs w:val="28"/>
        </w:rPr>
      </w:pPr>
      <w:r w:rsidRPr="00782B4B">
        <w:rPr>
          <w:rFonts w:eastAsia="Calibri"/>
          <w:sz w:val="28"/>
          <w:szCs w:val="28"/>
        </w:rPr>
        <w:t>1.4.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6C34BD" w:rsidRPr="00782B4B" w:rsidRDefault="006C34BD" w:rsidP="006C34BD">
      <w:pPr>
        <w:suppressAutoHyphens w:val="0"/>
        <w:autoSpaceDE w:val="0"/>
        <w:autoSpaceDN w:val="0"/>
        <w:adjustRightInd w:val="0"/>
        <w:spacing w:after="200" w:line="276" w:lineRule="auto"/>
        <w:ind w:left="720"/>
        <w:jc w:val="both"/>
        <w:rPr>
          <w:rFonts w:eastAsia="Calibri"/>
          <w:sz w:val="28"/>
          <w:szCs w:val="28"/>
        </w:rPr>
      </w:pPr>
      <w:r w:rsidRPr="00782B4B">
        <w:rPr>
          <w:rFonts w:eastAsia="Calibri"/>
          <w:sz w:val="28"/>
          <w:szCs w:val="28"/>
        </w:rPr>
        <w:t xml:space="preserve">1.5 контроль в сфере закупок, предусмотренный </w:t>
      </w:r>
      <w:hyperlink r:id="rId6" w:history="1">
        <w:r w:rsidRPr="00782B4B">
          <w:rPr>
            <w:rFonts w:eastAsia="Calibri"/>
            <w:sz w:val="28"/>
            <w:szCs w:val="28"/>
          </w:rPr>
          <w:t>законодательством</w:t>
        </w:r>
      </w:hyperlink>
      <w:r w:rsidRPr="00782B4B">
        <w:rPr>
          <w:rFonts w:eastAsia="Calibri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 муниципальных нужд;</w:t>
      </w:r>
    </w:p>
    <w:p w:rsidR="006C34BD" w:rsidRPr="00782B4B" w:rsidRDefault="006C34BD" w:rsidP="006C34BD">
      <w:pPr>
        <w:widowControl/>
        <w:suppressAutoHyphens w:val="0"/>
        <w:spacing w:after="200" w:line="276" w:lineRule="auto"/>
        <w:jc w:val="both"/>
        <w:rPr>
          <w:rFonts w:eastAsia="Calibri"/>
          <w:iCs/>
          <w:sz w:val="28"/>
          <w:szCs w:val="28"/>
        </w:rPr>
      </w:pPr>
      <w:r w:rsidRPr="00782B4B">
        <w:rPr>
          <w:rFonts w:eastAsia="Calibri"/>
          <w:iCs/>
          <w:sz w:val="28"/>
          <w:szCs w:val="28"/>
        </w:rPr>
        <w:t xml:space="preserve">     2.  </w:t>
      </w:r>
      <w:r w:rsidRPr="00782B4B">
        <w:rPr>
          <w:rFonts w:eastAsia="Calibri"/>
          <w:color w:val="000000"/>
          <w:sz w:val="28"/>
          <w:szCs w:val="28"/>
          <w:shd w:val="clear" w:color="auto" w:fill="FFFFFF"/>
        </w:rPr>
        <w:t xml:space="preserve">Реализация передаваемых полномочий будет осуществляться за счет финансового обеспечения в виде межбюджетных трансфертов из бюджета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</w:rPr>
        <w:t>Новозахаркинского</w:t>
      </w:r>
      <w:proofErr w:type="spellEnd"/>
      <w:r w:rsidRPr="00782B4B">
        <w:rPr>
          <w:rFonts w:eastAsia="Calibri"/>
          <w:color w:val="000000"/>
          <w:sz w:val="28"/>
          <w:szCs w:val="28"/>
          <w:shd w:val="clear" w:color="auto" w:fill="FFFFFF"/>
        </w:rPr>
        <w:t xml:space="preserve"> муниципального образования в бюджет Духовницкого муниципального района в сумме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1</w:t>
      </w:r>
      <w:r w:rsidR="005F0BA3">
        <w:rPr>
          <w:rFonts w:eastAsia="Calibri"/>
          <w:color w:val="000000"/>
          <w:sz w:val="28"/>
          <w:szCs w:val="28"/>
          <w:shd w:val="clear" w:color="auto" w:fill="FFFFFF"/>
        </w:rPr>
        <w:t>0</w:t>
      </w:r>
      <w:r w:rsidRPr="00782B4B">
        <w:rPr>
          <w:rFonts w:eastAsia="Calibri"/>
          <w:color w:val="000000"/>
          <w:sz w:val="28"/>
          <w:szCs w:val="28"/>
          <w:shd w:val="clear" w:color="auto" w:fill="FFFFFF"/>
        </w:rPr>
        <w:t>,0 тыс. рублей.</w:t>
      </w:r>
    </w:p>
    <w:p w:rsidR="006C34BD" w:rsidRPr="00782B4B" w:rsidRDefault="006C34BD" w:rsidP="006C34BD">
      <w:pPr>
        <w:widowControl/>
        <w:suppressAutoHyphens w:val="0"/>
        <w:spacing w:after="200" w:line="276" w:lineRule="auto"/>
        <w:jc w:val="both"/>
        <w:rPr>
          <w:rFonts w:eastAsia="Calibri"/>
          <w:iCs/>
          <w:sz w:val="28"/>
          <w:szCs w:val="28"/>
        </w:rPr>
      </w:pPr>
      <w:r w:rsidRPr="00782B4B">
        <w:rPr>
          <w:rFonts w:eastAsia="Calibri"/>
          <w:iCs/>
          <w:sz w:val="28"/>
          <w:szCs w:val="28"/>
        </w:rPr>
        <w:t xml:space="preserve">3.  Подписание соглашения о передаче части своих полномочий по решению вопросов местного значения органами местного самоуправления </w:t>
      </w:r>
      <w:proofErr w:type="spellStart"/>
      <w:r>
        <w:rPr>
          <w:rFonts w:eastAsia="Calibri"/>
          <w:iCs/>
          <w:sz w:val="28"/>
          <w:szCs w:val="28"/>
        </w:rPr>
        <w:t>Новозахаркинского</w:t>
      </w:r>
      <w:proofErr w:type="spellEnd"/>
      <w:r>
        <w:rPr>
          <w:rFonts w:eastAsia="Calibri"/>
          <w:iCs/>
          <w:sz w:val="28"/>
          <w:szCs w:val="28"/>
        </w:rPr>
        <w:t xml:space="preserve"> </w:t>
      </w:r>
      <w:r w:rsidRPr="00782B4B">
        <w:rPr>
          <w:rFonts w:eastAsia="Calibri"/>
          <w:iCs/>
          <w:sz w:val="28"/>
          <w:szCs w:val="28"/>
        </w:rPr>
        <w:t>муниципального образования органам местного самоуправления Духовницко</w:t>
      </w:r>
      <w:r w:rsidR="005F0BA3">
        <w:rPr>
          <w:rFonts w:eastAsia="Calibri"/>
          <w:iCs/>
          <w:sz w:val="28"/>
          <w:szCs w:val="28"/>
        </w:rPr>
        <w:t>го муниципального района на 2025</w:t>
      </w:r>
      <w:r w:rsidRPr="00782B4B">
        <w:rPr>
          <w:rFonts w:eastAsia="Calibri"/>
          <w:iCs/>
          <w:sz w:val="28"/>
          <w:szCs w:val="28"/>
        </w:rPr>
        <w:t xml:space="preserve"> год поручить главе   </w:t>
      </w:r>
      <w:proofErr w:type="spellStart"/>
      <w:r>
        <w:rPr>
          <w:rFonts w:eastAsia="Calibri"/>
          <w:iCs/>
          <w:sz w:val="28"/>
          <w:szCs w:val="28"/>
        </w:rPr>
        <w:t>Новозахаркинского</w:t>
      </w:r>
      <w:proofErr w:type="spellEnd"/>
      <w:r w:rsidRPr="00782B4B">
        <w:rPr>
          <w:rFonts w:eastAsia="Calibri"/>
          <w:iCs/>
          <w:sz w:val="28"/>
          <w:szCs w:val="28"/>
        </w:rPr>
        <w:t xml:space="preserve"> муниципального образования </w:t>
      </w:r>
      <w:r>
        <w:rPr>
          <w:rFonts w:eastAsia="Calibri"/>
          <w:iCs/>
          <w:sz w:val="28"/>
          <w:szCs w:val="28"/>
        </w:rPr>
        <w:t>О.В. Ботовой</w:t>
      </w:r>
      <w:r w:rsidRPr="00782B4B">
        <w:rPr>
          <w:rFonts w:eastAsia="Calibri"/>
          <w:iCs/>
          <w:sz w:val="28"/>
          <w:szCs w:val="28"/>
        </w:rPr>
        <w:t>.</w:t>
      </w:r>
    </w:p>
    <w:p w:rsidR="006C34BD" w:rsidRPr="00782B4B" w:rsidRDefault="006C34BD" w:rsidP="006C34BD">
      <w:pPr>
        <w:widowControl/>
        <w:suppressAutoHyphens w:val="0"/>
        <w:spacing w:after="200" w:line="276" w:lineRule="auto"/>
        <w:jc w:val="both"/>
        <w:rPr>
          <w:rFonts w:eastAsia="Calibri"/>
          <w:iCs/>
          <w:sz w:val="28"/>
          <w:szCs w:val="28"/>
        </w:rPr>
      </w:pPr>
      <w:r w:rsidRPr="00782B4B">
        <w:rPr>
          <w:rFonts w:eastAsia="Calibri"/>
          <w:iCs/>
          <w:sz w:val="28"/>
          <w:szCs w:val="28"/>
        </w:rPr>
        <w:t xml:space="preserve">4. Контроль за исполнением данного решения возложить на главу   </w:t>
      </w:r>
      <w:proofErr w:type="spellStart"/>
      <w:r>
        <w:rPr>
          <w:rFonts w:eastAsia="Calibri"/>
          <w:iCs/>
          <w:sz w:val="28"/>
          <w:szCs w:val="28"/>
        </w:rPr>
        <w:t>Новозахаркинского</w:t>
      </w:r>
      <w:proofErr w:type="spellEnd"/>
      <w:r w:rsidRPr="00782B4B">
        <w:rPr>
          <w:rFonts w:eastAsia="Calibri"/>
          <w:iCs/>
          <w:sz w:val="28"/>
          <w:szCs w:val="28"/>
        </w:rPr>
        <w:t xml:space="preserve"> муниципального образования </w:t>
      </w:r>
      <w:r>
        <w:rPr>
          <w:rFonts w:eastAsia="Calibri"/>
          <w:iCs/>
          <w:sz w:val="28"/>
          <w:szCs w:val="28"/>
        </w:rPr>
        <w:t xml:space="preserve">О.В. </w:t>
      </w:r>
      <w:proofErr w:type="spellStart"/>
      <w:r>
        <w:rPr>
          <w:rFonts w:eastAsia="Calibri"/>
          <w:iCs/>
          <w:sz w:val="28"/>
          <w:szCs w:val="28"/>
        </w:rPr>
        <w:t>Ботову</w:t>
      </w:r>
      <w:proofErr w:type="spellEnd"/>
      <w:r w:rsidRPr="00782B4B">
        <w:rPr>
          <w:rFonts w:eastAsia="Calibri"/>
          <w:iCs/>
          <w:sz w:val="28"/>
          <w:szCs w:val="28"/>
        </w:rPr>
        <w:t>.</w:t>
      </w:r>
    </w:p>
    <w:p w:rsidR="006C34BD" w:rsidRPr="00782B4B" w:rsidRDefault="006C34BD" w:rsidP="006C34BD">
      <w:pPr>
        <w:widowControl/>
        <w:suppressAutoHyphens w:val="0"/>
        <w:spacing w:after="200" w:line="276" w:lineRule="auto"/>
        <w:jc w:val="both"/>
        <w:rPr>
          <w:rFonts w:eastAsia="Calibri"/>
          <w:iCs/>
          <w:sz w:val="28"/>
          <w:szCs w:val="28"/>
        </w:rPr>
      </w:pPr>
      <w:r w:rsidRPr="00782B4B">
        <w:rPr>
          <w:rFonts w:eastAsia="Calibri"/>
          <w:iCs/>
          <w:sz w:val="28"/>
          <w:szCs w:val="28"/>
        </w:rPr>
        <w:t xml:space="preserve"> 5. Настоящее решение вступает в силу после его обнародования и распространяется на правоотношения, возникшие с 01</w:t>
      </w:r>
      <w:r>
        <w:rPr>
          <w:rFonts w:eastAsia="Calibri"/>
          <w:iCs/>
          <w:sz w:val="28"/>
          <w:szCs w:val="28"/>
        </w:rPr>
        <w:t>января</w:t>
      </w:r>
      <w:r w:rsidRPr="00782B4B">
        <w:rPr>
          <w:rFonts w:eastAsia="Calibri"/>
          <w:iCs/>
          <w:sz w:val="28"/>
          <w:szCs w:val="28"/>
        </w:rPr>
        <w:t xml:space="preserve"> 202</w:t>
      </w:r>
      <w:r w:rsidR="005F0BA3">
        <w:rPr>
          <w:rFonts w:eastAsia="Calibri"/>
          <w:iCs/>
          <w:sz w:val="28"/>
          <w:szCs w:val="28"/>
        </w:rPr>
        <w:t>5</w:t>
      </w:r>
      <w:r w:rsidRPr="00782B4B">
        <w:rPr>
          <w:rFonts w:eastAsia="Calibri"/>
          <w:iCs/>
          <w:sz w:val="28"/>
          <w:szCs w:val="28"/>
        </w:rPr>
        <w:t xml:space="preserve"> года. </w:t>
      </w:r>
    </w:p>
    <w:p w:rsidR="006C34BD" w:rsidRPr="00303544" w:rsidRDefault="006C34BD" w:rsidP="006C34BD">
      <w:pPr>
        <w:shd w:val="clear" w:color="auto" w:fill="FFFFFF"/>
        <w:snapToGrid w:val="0"/>
        <w:ind w:left="10" w:firstLine="567"/>
        <w:jc w:val="both"/>
        <w:rPr>
          <w:spacing w:val="-4"/>
          <w:sz w:val="27"/>
          <w:szCs w:val="27"/>
        </w:rPr>
      </w:pPr>
    </w:p>
    <w:p w:rsidR="006C34BD" w:rsidRPr="006F59E2" w:rsidRDefault="006C34BD" w:rsidP="006C34BD">
      <w:pPr>
        <w:pStyle w:val="2"/>
        <w:spacing w:before="0" w:after="0"/>
        <w:rPr>
          <w:rFonts w:ascii="Times New Roman" w:hAnsi="Times New Roman"/>
          <w:i w:val="0"/>
          <w:sz w:val="26"/>
          <w:szCs w:val="26"/>
        </w:rPr>
      </w:pPr>
    </w:p>
    <w:p w:rsidR="006C34BD" w:rsidRDefault="006C34BD" w:rsidP="006C3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6F59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proofErr w:type="spellStart"/>
      <w:r>
        <w:rPr>
          <w:b/>
          <w:sz w:val="28"/>
          <w:szCs w:val="28"/>
        </w:rPr>
        <w:t>Новозахаркинского</w:t>
      </w:r>
      <w:proofErr w:type="spellEnd"/>
      <w:r>
        <w:rPr>
          <w:b/>
          <w:sz w:val="28"/>
          <w:szCs w:val="28"/>
        </w:rPr>
        <w:t xml:space="preserve"> </w:t>
      </w:r>
      <w:r w:rsidRPr="006F59E2">
        <w:rPr>
          <w:b/>
          <w:sz w:val="28"/>
          <w:szCs w:val="28"/>
        </w:rPr>
        <w:t xml:space="preserve"> </w:t>
      </w:r>
    </w:p>
    <w:p w:rsidR="006C34BD" w:rsidRDefault="006C34BD" w:rsidP="006C34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Pr="006F59E2">
        <w:rPr>
          <w:b/>
          <w:sz w:val="28"/>
          <w:szCs w:val="28"/>
        </w:rPr>
        <w:tab/>
      </w:r>
      <w:r w:rsidRPr="006F5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</w:t>
      </w:r>
      <w:proofErr w:type="spellStart"/>
      <w:r>
        <w:rPr>
          <w:b/>
          <w:sz w:val="28"/>
          <w:szCs w:val="28"/>
        </w:rPr>
        <w:t>Ботова</w:t>
      </w:r>
      <w:proofErr w:type="spellEnd"/>
      <w:r>
        <w:rPr>
          <w:b/>
          <w:sz w:val="28"/>
          <w:szCs w:val="28"/>
        </w:rPr>
        <w:t xml:space="preserve"> О.В.</w:t>
      </w:r>
      <w:r w:rsidRPr="006F59E2">
        <w:rPr>
          <w:b/>
          <w:sz w:val="28"/>
          <w:szCs w:val="28"/>
        </w:rPr>
        <w:tab/>
      </w:r>
    </w:p>
    <w:p w:rsidR="006C34BD" w:rsidRDefault="006C34BD" w:rsidP="006C34BD">
      <w:pPr>
        <w:rPr>
          <w:b/>
          <w:sz w:val="28"/>
          <w:szCs w:val="28"/>
        </w:rPr>
      </w:pPr>
    </w:p>
    <w:p w:rsidR="006C34BD" w:rsidRDefault="006C34BD" w:rsidP="006C34BD">
      <w:pPr>
        <w:jc w:val="both"/>
        <w:rPr>
          <w:sz w:val="27"/>
          <w:szCs w:val="27"/>
        </w:rPr>
      </w:pPr>
    </w:p>
    <w:p w:rsidR="006C34BD" w:rsidRDefault="006C34BD" w:rsidP="006C34BD">
      <w:pPr>
        <w:jc w:val="both"/>
        <w:rPr>
          <w:sz w:val="27"/>
          <w:szCs w:val="27"/>
        </w:rPr>
      </w:pPr>
    </w:p>
    <w:p w:rsidR="006C34BD" w:rsidRDefault="006C34BD" w:rsidP="006C34BD">
      <w:pPr>
        <w:jc w:val="both"/>
        <w:rPr>
          <w:sz w:val="27"/>
          <w:szCs w:val="27"/>
        </w:rPr>
      </w:pPr>
    </w:p>
    <w:p w:rsidR="00151E55" w:rsidRDefault="00151E55"/>
    <w:sectPr w:rsidR="00151E55" w:rsidSect="002F34A3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66A17"/>
    <w:multiLevelType w:val="multilevel"/>
    <w:tmpl w:val="F6584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27"/>
    <w:rsid w:val="00151E55"/>
    <w:rsid w:val="005F0BA3"/>
    <w:rsid w:val="00653154"/>
    <w:rsid w:val="006C34BD"/>
    <w:rsid w:val="007C02B6"/>
    <w:rsid w:val="00B44453"/>
    <w:rsid w:val="00B77527"/>
    <w:rsid w:val="00D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6685"/>
  <w15:chartTrackingRefBased/>
  <w15:docId w15:val="{F0904F71-488A-4A61-8C96-920EF6CC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4BD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3154"/>
    <w:pPr>
      <w:spacing w:before="108" w:after="108"/>
      <w:jc w:val="center"/>
      <w:outlineLvl w:val="0"/>
    </w:pPr>
    <w:rPr>
      <w:b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6531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5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3154"/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53154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653154"/>
    <w:rPr>
      <w:rFonts w:asciiTheme="minorHAnsi" w:eastAsiaTheme="minorEastAsia" w:hAnsiTheme="minorHAnsi" w:cstheme="minorBidi"/>
      <w:b/>
      <w:bCs/>
      <w:i/>
      <w:iCs/>
      <w:sz w:val="26"/>
      <w:szCs w:val="26"/>
      <w:lang w:bidi="ru-RU"/>
    </w:rPr>
  </w:style>
  <w:style w:type="character" w:styleId="a3">
    <w:name w:val="Strong"/>
    <w:uiPriority w:val="22"/>
    <w:qFormat/>
    <w:rsid w:val="00653154"/>
    <w:rPr>
      <w:b/>
      <w:bCs/>
    </w:rPr>
  </w:style>
  <w:style w:type="character" w:styleId="a4">
    <w:name w:val="Emphasis"/>
    <w:uiPriority w:val="20"/>
    <w:qFormat/>
    <w:rsid w:val="00653154"/>
    <w:rPr>
      <w:i/>
      <w:iCs/>
    </w:rPr>
  </w:style>
  <w:style w:type="paragraph" w:styleId="a5">
    <w:name w:val="header"/>
    <w:basedOn w:val="a"/>
    <w:link w:val="a6"/>
    <w:semiHidden/>
    <w:rsid w:val="006C34BD"/>
    <w:pPr>
      <w:keepLines/>
      <w:widowControl/>
      <w:tabs>
        <w:tab w:val="center" w:pos="4320"/>
        <w:tab w:val="right" w:pos="8640"/>
      </w:tabs>
      <w:spacing w:after="600" w:line="220" w:lineRule="atLeast"/>
    </w:pPr>
    <w:rPr>
      <w:rFonts w:ascii="Arial" w:eastAsia="Times New Roman" w:hAnsi="Arial"/>
      <w:spacing w:val="-5"/>
      <w:sz w:val="20"/>
      <w:szCs w:val="20"/>
      <w:lang w:val="en-US" w:eastAsia="ar-SA"/>
    </w:rPr>
  </w:style>
  <w:style w:type="character" w:customStyle="1" w:styleId="a6">
    <w:name w:val="Верхний колонтитул Знак"/>
    <w:basedOn w:val="a0"/>
    <w:link w:val="a5"/>
    <w:semiHidden/>
    <w:rsid w:val="006C34BD"/>
    <w:rPr>
      <w:rFonts w:ascii="Arial" w:eastAsia="Times New Roman" w:hAnsi="Arial"/>
      <w:spacing w:val="-5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8C85BC3EF367A472254497261C1CD85B582DBD9733C13C494FDE100CF71F283DCACE2C09B7B4567A4EEC92E44E21F8BA1ADB0B1BE90440J4p6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2023-12-19T09:37:00Z</dcterms:created>
  <dcterms:modified xsi:type="dcterms:W3CDTF">2024-12-18T05:31:00Z</dcterms:modified>
</cp:coreProperties>
</file>